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67" w:rsidRPr="00860867" w:rsidRDefault="00860867" w:rsidP="00860867">
      <w:pPr>
        <w:spacing w:before="480" w:after="0"/>
        <w:contextualSpacing/>
        <w:jc w:val="center"/>
        <w:outlineLvl w:val="0"/>
        <w:rPr>
          <w:rFonts w:asciiTheme="majorHAnsi" w:eastAsiaTheme="majorEastAsia" w:hAnsiTheme="majorHAnsi" w:cstheme="majorBidi"/>
          <w:b/>
          <w:bCs/>
          <w:sz w:val="32"/>
          <w:szCs w:val="28"/>
          <w:lang w:eastAsia="is-IS"/>
        </w:rPr>
      </w:pPr>
      <w:bookmarkStart w:id="0" w:name="_Toc350354469"/>
      <w:r w:rsidRPr="00860867">
        <w:rPr>
          <w:rFonts w:asciiTheme="majorHAnsi" w:eastAsiaTheme="majorEastAsia" w:hAnsiTheme="majorHAnsi" w:cstheme="majorBidi"/>
          <w:b/>
          <w:bCs/>
          <w:sz w:val="32"/>
          <w:szCs w:val="28"/>
          <w:lang w:eastAsia="is-IS"/>
        </w:rPr>
        <w:t>Leiðbeiningar fyrir ritrýna Sjúkraþjálfarans</w:t>
      </w:r>
      <w:bookmarkEnd w:id="0"/>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Aðaltilgangur ritrýnis er að gefa fræðilegri ritstjórn ráð um hvernig með greinar skuli farið, að meta hvort vinnan er frumleg og þörf, vel unnin og í samræmi við nýjustu þekkingu. Hann athugar einnig hvort efniviðnum er nægilega vel lýst þannig að lesendur geti fylgt röksemdafærslu og mögulegt sé að</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endurtaka viðkomandi rannsókn.</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 xml:space="preserve">Umsögn ritrýnis til ritstjórnar er tvíþætt. Í fyrsta lagi í formi yfirlitstöflu og stuttrar greinargerðar um handritið þar sem fram kemur hvort handritið er birtingarhæft og þar sem farið er yfir styrkleika og takmarkanir rannsóknarinnar/handritsins. Þessi hluti er eingöngu ætlaður fræðilegri ritstjórn. </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 xml:space="preserve">Í öðru lagi skrifar ritrýnir aðferðafræðilega greinargerð og tillögur að endurbótum í samræmi við leiðbeiningar Sjúkraþjálfarans fyrir ritrýna. Þann hluta dómsins mun ritstjórn að jafnaði senda höfundi, ásamt eigin athugasemdum, ef þær eru einhverjar. </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Ritrýnar eru vinsamlegast beðnir að færa athugasemdir sínar ekki beint inn í skjalið sem geymir fræðigreinina. Hver ritrýnir er beðinn um að fara með handritið sem trúnaðarmál. Ritrýnar njóta fullrar nafnleyndar gagnvart höfundum og á sama hátt eru greinar sendar blindaðar til ritrýna. Allir aðilar eru beðnir að virða þessar vinnureglur.</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Leiðbeiningarnar sem hér fara á eftir eru eingöngu ætlaðar til viðmiðunar fyrir ritrýna. Önnur atriði en</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þau sem að neðan eru talin kunna að koma til álita. Ekki er nauðsynlegt að leiðbeiningunum sé fylgt lið fyrir lið í öllum tilvikum, þó æskilegt sé að horfa til þeirra atriða sem þar koma fram.</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Pr="00860867" w:rsidRDefault="00860867" w:rsidP="00860867">
      <w:pPr>
        <w:spacing w:after="0" w:line="240" w:lineRule="auto"/>
        <w:rPr>
          <w:rFonts w:ascii="Times New Roman" w:eastAsia="Times New Roman" w:hAnsi="Times New Roman"/>
          <w:color w:val="333333"/>
          <w:lang w:eastAsia="is-IS"/>
        </w:rPr>
      </w:pPr>
      <w:r w:rsidRPr="005E6EB6">
        <w:rPr>
          <w:rFonts w:ascii="Times New Roman" w:eastAsia="Times New Roman" w:hAnsi="Times New Roman"/>
          <w:lang w:eastAsia="is-IS"/>
        </w:rPr>
        <w:t>Ritrýnar eru beðnir um að fara eftir gátlistum þegar það á við. Ritrýnar sem skoða slembiraðaðar klínískar rannsóknagreinar skulu fara eftir CONSORT flæðiritinu, ritrýnar sem fara yfir yfirlitsgreinar eru eiga að styðjast við PRIMSA gátlistann og ritrýnar sem fara yfir rannsóknir um nákvæmni greiningarprófa styðjast við STARD gátlistann. Fyrir eigindlegar rannsóknir</w:t>
      </w:r>
      <w:r w:rsidR="005E6EB6">
        <w:rPr>
          <w:rFonts w:ascii="Times New Roman" w:eastAsia="Times New Roman" w:hAnsi="Times New Roman"/>
          <w:lang w:eastAsia="is-IS"/>
        </w:rPr>
        <w:t xml:space="preserve"> </w:t>
      </w:r>
      <w:r w:rsidRPr="005E6EB6">
        <w:rPr>
          <w:rFonts w:ascii="Times New Roman" w:eastAsia="Times New Roman" w:hAnsi="Times New Roman"/>
          <w:lang w:eastAsia="is-IS"/>
        </w:rPr>
        <w:t xml:space="preserve">er gott að nota </w:t>
      </w:r>
      <w:r w:rsidRPr="005E6EB6">
        <w:rPr>
          <w:rFonts w:ascii="Times New Roman" w:eastAsiaTheme="minorEastAsia" w:hAnsi="Times New Roman"/>
          <w:lang w:eastAsia="is-IS"/>
        </w:rPr>
        <w:t xml:space="preserve">QUALRES. </w:t>
      </w:r>
      <w:r w:rsidR="005E6EB6" w:rsidRPr="005E6EB6">
        <w:rPr>
          <w:rFonts w:ascii="Times New Roman" w:eastAsiaTheme="minorEastAsia" w:hAnsi="Times New Roman"/>
          <w:lang w:eastAsia="is-IS"/>
        </w:rPr>
        <w:t>Sjá nánar skjalið</w:t>
      </w:r>
      <w:r w:rsidRPr="005E6EB6">
        <w:rPr>
          <w:rFonts w:ascii="Times New Roman" w:eastAsia="Times New Roman" w:hAnsi="Times New Roman"/>
          <w:lang w:eastAsia="is-IS"/>
        </w:rPr>
        <w:t xml:space="preserve"> </w:t>
      </w:r>
      <w:r w:rsidRPr="005E6EB6">
        <w:rPr>
          <w:rFonts w:ascii="Times New Roman" w:eastAsia="Times New Roman" w:hAnsi="Times New Roman"/>
          <w:u w:val="single"/>
          <w:lang w:eastAsia="is-IS"/>
        </w:rPr>
        <w:t xml:space="preserve">gátlistar og flæðirit </w:t>
      </w:r>
      <w:r w:rsidRPr="005E6EB6">
        <w:rPr>
          <w:rFonts w:ascii="Times New Roman" w:eastAsiaTheme="minorEastAsia" w:hAnsi="Times New Roman"/>
          <w:bCs/>
          <w:u w:val="single"/>
          <w:lang w:eastAsia="is-IS"/>
        </w:rPr>
        <w:t>fyrir mismunandi rannsóknarsnið</w:t>
      </w:r>
      <w:r w:rsidRPr="005E6EB6">
        <w:rPr>
          <w:rFonts w:ascii="Times New Roman" w:eastAsia="Times New Roman" w:hAnsi="Times New Roman"/>
          <w:lang w:eastAsia="is-IS"/>
        </w:rPr>
        <w:t>.</w:t>
      </w:r>
    </w:p>
    <w:p w:rsidR="00860867" w:rsidRPr="00860867" w:rsidRDefault="00860867" w:rsidP="00860867">
      <w:pPr>
        <w:autoSpaceDE w:val="0"/>
        <w:autoSpaceDN w:val="0"/>
        <w:adjustRightInd w:val="0"/>
        <w:spacing w:after="0" w:line="240" w:lineRule="auto"/>
        <w:rPr>
          <w:rFonts w:ascii="Times New Roman" w:eastAsiaTheme="minorEastAsia" w:hAnsi="Times New Roman"/>
          <w:b/>
          <w:bCs/>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Fimm mikilvægir þættir sem einkenna hágæðarannsóknir eru:</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b/>
          <w:lang w:eastAsia="is-IS"/>
        </w:rPr>
        <w:t>Þýðing (</w:t>
      </w:r>
      <w:r w:rsidRPr="00860867">
        <w:rPr>
          <w:rFonts w:ascii="Times New Roman" w:eastAsiaTheme="minorEastAsia" w:hAnsi="Times New Roman"/>
          <w:b/>
          <w:i/>
          <w:lang w:eastAsia="is-IS"/>
        </w:rPr>
        <w:t>relevance</w:t>
      </w:r>
      <w:r w:rsidRPr="00860867">
        <w:rPr>
          <w:rFonts w:ascii="Times New Roman" w:eastAsiaTheme="minorEastAsia" w:hAnsi="Times New Roman"/>
          <w:b/>
          <w:lang w:eastAsia="is-IS"/>
        </w:rPr>
        <w:t>)</w:t>
      </w:r>
      <w:r w:rsidRPr="00860867">
        <w:rPr>
          <w:rFonts w:ascii="Times New Roman" w:eastAsiaTheme="minorEastAsia" w:hAnsi="Times New Roman"/>
          <w:lang w:eastAsia="is-IS"/>
        </w:rPr>
        <w:t xml:space="preserve"> rannsóknarinnar fyrir sjúkraþjálfunarfagið hér á landi (á að koma fram í texta greinarinnar). </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Wingdings-Regular" w:hAnsi="Times New Roman"/>
          <w:b/>
          <w:lang w:eastAsia="is-IS"/>
        </w:rPr>
        <w:t>Frumleiki (</w:t>
      </w:r>
      <w:r w:rsidRPr="00860867">
        <w:rPr>
          <w:rFonts w:ascii="Times New Roman" w:eastAsia="Wingdings-Regular" w:hAnsi="Times New Roman"/>
          <w:b/>
          <w:i/>
          <w:lang w:eastAsia="is-IS"/>
        </w:rPr>
        <w:t>o</w:t>
      </w:r>
      <w:r w:rsidRPr="00860867">
        <w:rPr>
          <w:rFonts w:ascii="Times New Roman" w:eastAsiaTheme="minorEastAsia" w:hAnsi="Times New Roman"/>
          <w:b/>
          <w:i/>
          <w:lang w:eastAsia="is-IS"/>
        </w:rPr>
        <w:t>riginalit</w:t>
      </w:r>
      <w:r w:rsidRPr="00860867">
        <w:rPr>
          <w:rFonts w:ascii="Times New Roman" w:eastAsiaTheme="minorEastAsia" w:hAnsi="Times New Roman"/>
          <w:b/>
          <w:lang w:eastAsia="is-IS"/>
        </w:rPr>
        <w:t xml:space="preserve">y). </w:t>
      </w:r>
      <w:r w:rsidRPr="00860867">
        <w:rPr>
          <w:rFonts w:ascii="Times New Roman" w:eastAsiaTheme="minorEastAsia" w:hAnsi="Times New Roman"/>
          <w:lang w:eastAsia="is-IS"/>
        </w:rPr>
        <w:t xml:space="preserve">Handritið inniheldur nýjar frumlegar upplýsingar sem skipta máli fyrir sjúkraþjálfun. </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b/>
          <w:lang w:eastAsia="is-IS"/>
        </w:rPr>
        <w:t>Mikilvægi (</w:t>
      </w:r>
      <w:r w:rsidRPr="00860867">
        <w:rPr>
          <w:rFonts w:ascii="Times New Roman" w:eastAsiaTheme="minorEastAsia" w:hAnsi="Times New Roman"/>
          <w:b/>
          <w:i/>
          <w:lang w:eastAsia="is-IS"/>
        </w:rPr>
        <w:t>importance</w:t>
      </w:r>
      <w:r w:rsidRPr="00860867">
        <w:rPr>
          <w:rFonts w:ascii="Times New Roman" w:eastAsiaTheme="minorEastAsia" w:hAnsi="Times New Roman"/>
          <w:lang w:eastAsia="is-IS"/>
        </w:rPr>
        <w:t xml:space="preserve">) rannsóknarinnar almennt. Um er að ræða eigin athugun sem eykur þekkingu á viðkomandi fræðasviði. </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b/>
          <w:lang w:eastAsia="is-IS"/>
        </w:rPr>
        <w:t>Hágæða rannsóknarsnið og aðferðir (</w:t>
      </w:r>
      <w:r w:rsidRPr="00860867">
        <w:rPr>
          <w:rFonts w:ascii="Times New Roman" w:eastAsiaTheme="minorEastAsia" w:hAnsi="Times New Roman"/>
          <w:b/>
          <w:i/>
          <w:lang w:eastAsia="is-IS"/>
        </w:rPr>
        <w:t>high-quality design and methods</w:t>
      </w:r>
      <w:r w:rsidRPr="00860867">
        <w:rPr>
          <w:rFonts w:ascii="Times New Roman" w:eastAsiaTheme="minorEastAsia" w:hAnsi="Times New Roman"/>
          <w:b/>
          <w:lang w:eastAsia="is-IS"/>
        </w:rPr>
        <w:t xml:space="preserve">). </w:t>
      </w:r>
      <w:r w:rsidRPr="00860867">
        <w:rPr>
          <w:rFonts w:ascii="Times New Roman" w:eastAsiaTheme="minorEastAsia" w:hAnsi="Times New Roman"/>
          <w:lang w:eastAsia="is-IS"/>
        </w:rPr>
        <w:t xml:space="preserve">Góð lýsing á rannsóknarsniði og aðferðum. </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b/>
          <w:lang w:eastAsia="is-IS"/>
        </w:rPr>
        <w:t>Hágæða greining og túlkun (</w:t>
      </w:r>
      <w:r w:rsidRPr="00860867">
        <w:rPr>
          <w:rFonts w:ascii="Times New Roman" w:eastAsiaTheme="minorEastAsia" w:hAnsi="Times New Roman"/>
          <w:b/>
          <w:i/>
          <w:lang w:eastAsia="is-IS"/>
        </w:rPr>
        <w:t>high-quality analysis and interpretation</w:t>
      </w:r>
      <w:r w:rsidRPr="00860867">
        <w:rPr>
          <w:rFonts w:ascii="Times New Roman" w:eastAsiaTheme="minorEastAsia" w:hAnsi="Times New Roman"/>
          <w:b/>
          <w:lang w:eastAsia="is-IS"/>
        </w:rPr>
        <w:t>)</w:t>
      </w:r>
    </w:p>
    <w:p w:rsidR="00860867" w:rsidRPr="00860867" w:rsidRDefault="00860867" w:rsidP="00860867">
      <w:pPr>
        <w:autoSpaceDE w:val="0"/>
        <w:autoSpaceDN w:val="0"/>
        <w:adjustRightInd w:val="0"/>
        <w:spacing w:after="0" w:line="240" w:lineRule="auto"/>
        <w:ind w:left="708"/>
        <w:rPr>
          <w:rFonts w:ascii="Times New Roman" w:eastAsiaTheme="minorEastAsia" w:hAnsi="Times New Roman"/>
          <w:lang w:eastAsia="is-IS"/>
        </w:rPr>
      </w:pPr>
      <w:r w:rsidRPr="00860867">
        <w:rPr>
          <w:rFonts w:ascii="Times New Roman" w:eastAsiaTheme="minorEastAsia" w:hAnsi="Times New Roman"/>
          <w:lang w:eastAsia="is-IS"/>
        </w:rPr>
        <w:t xml:space="preserve">Góð greining og túlkun á niðurstöðum tryggir góðan umræðukafla þar sem samræmi er á milli niðurstaða og túlkunar. </w:t>
      </w:r>
    </w:p>
    <w:p w:rsidR="00860867" w:rsidRPr="00860867" w:rsidRDefault="00860867" w:rsidP="00860867">
      <w:pPr>
        <w:autoSpaceDE w:val="0"/>
        <w:autoSpaceDN w:val="0"/>
        <w:adjustRightInd w:val="0"/>
        <w:spacing w:after="0" w:line="240" w:lineRule="auto"/>
        <w:rPr>
          <w:rFonts w:ascii="Times New Roman" w:eastAsiaTheme="minorEastAsia" w:hAnsi="Times New Roman"/>
          <w:b/>
          <w:bCs/>
          <w:lang w:eastAsia="is-IS"/>
        </w:rPr>
      </w:pPr>
    </w:p>
    <w:p w:rsidR="00860867" w:rsidRPr="00860867" w:rsidRDefault="00860867" w:rsidP="00860867">
      <w:pPr>
        <w:spacing w:before="200" w:after="0"/>
        <w:outlineLvl w:val="1"/>
        <w:rPr>
          <w:rFonts w:asciiTheme="majorHAnsi" w:eastAsiaTheme="majorEastAsia" w:hAnsiTheme="majorHAnsi" w:cstheme="majorBidi"/>
          <w:b/>
          <w:bCs/>
          <w:sz w:val="28"/>
          <w:szCs w:val="26"/>
          <w:lang w:eastAsia="is-IS"/>
        </w:rPr>
      </w:pPr>
      <w:bookmarkStart w:id="1" w:name="_Toc350354470"/>
      <w:r w:rsidRPr="00860867">
        <w:rPr>
          <w:rFonts w:asciiTheme="majorHAnsi" w:eastAsiaTheme="majorEastAsia" w:hAnsiTheme="majorHAnsi" w:cstheme="majorBidi"/>
          <w:b/>
          <w:bCs/>
          <w:sz w:val="28"/>
          <w:szCs w:val="26"/>
          <w:lang w:eastAsia="is-IS"/>
        </w:rPr>
        <w:t>Almennar leiðbeiningar um ritrýningu</w:t>
      </w:r>
      <w:bookmarkEnd w:id="1"/>
      <w:r w:rsidRPr="00860867">
        <w:rPr>
          <w:rFonts w:asciiTheme="majorHAnsi" w:eastAsiaTheme="majorEastAsia" w:hAnsiTheme="majorHAnsi" w:cstheme="majorBidi"/>
          <w:b/>
          <w:bCs/>
          <w:sz w:val="28"/>
          <w:szCs w:val="26"/>
          <w:lang w:eastAsia="is-IS"/>
        </w:rPr>
        <w:t xml:space="preserve"> </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bCs/>
          <w:lang w:eastAsia="is-IS"/>
        </w:rPr>
        <w:t>Ritrýnir er beðinn um að</w:t>
      </w:r>
      <w:r w:rsidRPr="00860867">
        <w:rPr>
          <w:rFonts w:ascii="Times New Roman" w:eastAsiaTheme="minorEastAsia" w:hAnsi="Times New Roman"/>
          <w:lang w:eastAsia="is-IS"/>
        </w:rPr>
        <w:t xml:space="preserve">: </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 xml:space="preserve">lesa allt handritið áður en hann leggur mat á greinina til að fá tilfinningu fyrir öllu handritinu, </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 xml:space="preserve">mynda sér skoðun á </w:t>
      </w:r>
      <w:r w:rsidRPr="00860867">
        <w:rPr>
          <w:rFonts w:ascii="Times New Roman" w:eastAsiaTheme="minorEastAsia" w:hAnsi="Times New Roman"/>
          <w:b/>
          <w:bCs/>
          <w:lang w:eastAsia="is-IS"/>
        </w:rPr>
        <w:t>þýðingu (</w:t>
      </w:r>
      <w:r w:rsidRPr="00860867">
        <w:rPr>
          <w:rFonts w:ascii="Times New Roman" w:eastAsiaTheme="minorEastAsia" w:hAnsi="Times New Roman"/>
          <w:b/>
          <w:bCs/>
          <w:i/>
          <w:lang w:eastAsia="is-IS"/>
        </w:rPr>
        <w:t>relevance</w:t>
      </w:r>
      <w:r w:rsidRPr="00860867">
        <w:rPr>
          <w:rFonts w:ascii="Times New Roman" w:eastAsiaTheme="minorEastAsia" w:hAnsi="Times New Roman"/>
          <w:b/>
          <w:bCs/>
          <w:lang w:eastAsia="is-IS"/>
        </w:rPr>
        <w:t>)</w:t>
      </w:r>
      <w:r w:rsidRPr="00860867">
        <w:rPr>
          <w:rFonts w:ascii="Times New Roman" w:eastAsiaTheme="minorEastAsia" w:hAnsi="Times New Roman"/>
          <w:b/>
          <w:lang w:eastAsia="is-IS"/>
        </w:rPr>
        <w:t>, frumleika (</w:t>
      </w:r>
      <w:r w:rsidRPr="00860867">
        <w:rPr>
          <w:rFonts w:ascii="Times New Roman" w:eastAsiaTheme="minorEastAsia" w:hAnsi="Times New Roman"/>
          <w:b/>
          <w:i/>
          <w:lang w:eastAsia="is-IS"/>
        </w:rPr>
        <w:t>o</w:t>
      </w:r>
      <w:r w:rsidRPr="00860867">
        <w:rPr>
          <w:rFonts w:ascii="Times New Roman" w:eastAsiaTheme="minorEastAsia" w:hAnsi="Times New Roman"/>
          <w:b/>
          <w:bCs/>
          <w:i/>
          <w:lang w:eastAsia="is-IS"/>
        </w:rPr>
        <w:t>riginality</w:t>
      </w:r>
      <w:r w:rsidRPr="00860867">
        <w:rPr>
          <w:rFonts w:ascii="Times New Roman" w:eastAsiaTheme="minorEastAsia" w:hAnsi="Times New Roman"/>
          <w:b/>
          <w:bCs/>
          <w:lang w:eastAsia="is-IS"/>
        </w:rPr>
        <w:t>)</w:t>
      </w:r>
      <w:r w:rsidRPr="00860867">
        <w:rPr>
          <w:rFonts w:ascii="Times New Roman" w:eastAsiaTheme="minorEastAsia" w:hAnsi="Times New Roman"/>
          <w:b/>
          <w:lang w:eastAsia="is-IS"/>
        </w:rPr>
        <w:t xml:space="preserve"> og mikilvægi (</w:t>
      </w:r>
      <w:r w:rsidRPr="00860867">
        <w:rPr>
          <w:rFonts w:ascii="Times New Roman" w:eastAsiaTheme="minorEastAsia" w:hAnsi="Times New Roman"/>
          <w:b/>
          <w:i/>
          <w:lang w:eastAsia="is-IS"/>
        </w:rPr>
        <w:t>i</w:t>
      </w:r>
      <w:r w:rsidRPr="00860867">
        <w:rPr>
          <w:rFonts w:ascii="Times New Roman" w:eastAsiaTheme="minorEastAsia" w:hAnsi="Times New Roman"/>
          <w:b/>
          <w:bCs/>
          <w:i/>
          <w:lang w:eastAsia="is-IS"/>
        </w:rPr>
        <w:t>mportance</w:t>
      </w:r>
      <w:r w:rsidRPr="00860867">
        <w:rPr>
          <w:rFonts w:ascii="Times New Roman" w:eastAsiaTheme="minorEastAsia" w:hAnsi="Times New Roman"/>
          <w:b/>
          <w:bCs/>
          <w:lang w:eastAsia="is-IS"/>
        </w:rPr>
        <w:t xml:space="preserve">) </w:t>
      </w:r>
      <w:r w:rsidRPr="00860867">
        <w:rPr>
          <w:rFonts w:ascii="Times New Roman" w:eastAsiaTheme="minorEastAsia" w:hAnsi="Times New Roman"/>
          <w:bCs/>
          <w:lang w:eastAsia="is-IS"/>
        </w:rPr>
        <w:t>rannsóknarinnar,</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 xml:space="preserve">byggja matið á handritinu út frá þeim fimm mikilvægu þáttum sem einkenna hágæða rannsóknargrein, </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lastRenderedPageBreak/>
        <w:t>ritrýna handritið lið fyrir lið með hliðsjón af umsagnarblaði ritrýna og vinna greinargerð um matið,</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vera nákvæmur (</w:t>
      </w:r>
      <w:r w:rsidRPr="00860867">
        <w:rPr>
          <w:rFonts w:ascii="Times New Roman" w:eastAsiaTheme="minorEastAsia" w:hAnsi="Times New Roman"/>
          <w:i/>
          <w:lang w:eastAsia="is-IS"/>
        </w:rPr>
        <w:t>specific</w:t>
      </w:r>
      <w:r w:rsidRPr="00860867">
        <w:rPr>
          <w:rFonts w:ascii="Times New Roman" w:eastAsiaTheme="minorEastAsia" w:hAnsi="Times New Roman"/>
          <w:lang w:eastAsia="is-IS"/>
        </w:rPr>
        <w:t>) í greinargerðinni sem hann vinnur,</w:t>
      </w:r>
    </w:p>
    <w:p w:rsidR="00860867" w:rsidRPr="00860867" w:rsidRDefault="00860867" w:rsidP="00860867">
      <w:pPr>
        <w:numPr>
          <w:ilvl w:val="0"/>
          <w:numId w:val="8"/>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 xml:space="preserve">breyta ekki orðalagi og forðast að prófarkalesa. Þó það sé freistandi að breyta setningum er það ekki nauðsynlegt í upphafi ritrýnis sérstaklega þegar óljóst er hvort breyta þurfi handriti mikið eða því verði jafnvel hafnað. </w:t>
      </w:r>
      <w:r w:rsidRPr="00860867">
        <w:rPr>
          <w:rFonts w:ascii="Times New Roman" w:eastAsia="Wingdings-Regular" w:hAnsi="Times New Roman"/>
          <w:lang w:eastAsia="is-IS"/>
        </w:rPr>
        <w:t>Ritrýnar eiga fremur að einbeita sér að þeim fimm</w:t>
      </w:r>
      <w:r w:rsidRPr="00860867">
        <w:rPr>
          <w:rFonts w:ascii="Times New Roman" w:eastAsiaTheme="minorEastAsia" w:hAnsi="Times New Roman"/>
          <w:lang w:eastAsia="is-IS"/>
        </w:rPr>
        <w:t xml:space="preserve"> mikilvægu þáttum sem einkenna eiga hágæðarannsóknir.</w:t>
      </w:r>
    </w:p>
    <w:p w:rsidR="00860867" w:rsidRPr="00860867" w:rsidRDefault="00860867" w:rsidP="00860867">
      <w:pPr>
        <w:autoSpaceDE w:val="0"/>
        <w:autoSpaceDN w:val="0"/>
        <w:adjustRightInd w:val="0"/>
        <w:spacing w:after="0" w:line="240" w:lineRule="auto"/>
        <w:ind w:left="360"/>
        <w:contextualSpacing/>
        <w:rPr>
          <w:rFonts w:ascii="Times New Roman" w:eastAsiaTheme="minorEastAsia" w:hAnsi="Times New Roman"/>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bCs/>
          <w:lang w:eastAsia="is-IS"/>
        </w:rPr>
      </w:pPr>
      <w:r w:rsidRPr="00860867">
        <w:rPr>
          <w:rFonts w:ascii="Times New Roman" w:eastAsiaTheme="minorEastAsia" w:hAnsi="Times New Roman"/>
          <w:bCs/>
          <w:lang w:eastAsia="is-IS"/>
        </w:rPr>
        <w:t>Auk þess eiga ritrýnar að:</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meta hvort rannsóknarviðfangsefnið er nýtt eða hvort efnið hefur verið birt áður, hvort sem um sömu eða aðra höfunda er að ræða. Ef rannsóknin er til staðfestingar fyrri rannsóknum, á að meta mikilvægi hennar til birtingar,</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meta lengd handrits</w:t>
      </w:r>
      <w:r w:rsidRPr="00860867">
        <w:rPr>
          <w:rFonts w:ascii="Times New Roman" w:eastAsiaTheme="minorEastAsia" w:hAnsi="Times New Roman"/>
          <w:color w:val="FF0000"/>
          <w:lang w:eastAsia="is-IS"/>
        </w:rPr>
        <w:t xml:space="preserve"> </w:t>
      </w:r>
      <w:r w:rsidRPr="00860867">
        <w:rPr>
          <w:rFonts w:ascii="Times New Roman" w:eastAsiaTheme="minorEastAsia" w:hAnsi="Times New Roman"/>
          <w:lang w:eastAsia="is-IS"/>
        </w:rPr>
        <w:t>í tengslum við mikilvægi þeirrar spurningar sem könnuð er. Ef handritið er talið of langt, þarf að tilgreina hvað mætti stytta eða fella niður,</w:t>
      </w:r>
    </w:p>
    <w:p w:rsidR="00860867" w:rsidRPr="00860867" w:rsidRDefault="00860867" w:rsidP="00860867">
      <w:pPr>
        <w:numPr>
          <w:ilvl w:val="0"/>
          <w:numId w:val="1"/>
        </w:numPr>
        <w:autoSpaceDE w:val="0"/>
        <w:autoSpaceDN w:val="0"/>
        <w:adjustRightInd w:val="0"/>
        <w:spacing w:after="0" w:line="240" w:lineRule="auto"/>
        <w:contextualSpacing/>
        <w:rPr>
          <w:rFonts w:ascii="Times New Roman" w:eastAsiaTheme="minorEastAsia" w:hAnsi="Times New Roman"/>
          <w:lang w:eastAsia="is-IS"/>
        </w:rPr>
      </w:pPr>
      <w:r w:rsidRPr="00860867">
        <w:rPr>
          <w:rFonts w:ascii="Times New Roman" w:eastAsiaTheme="minorEastAsia" w:hAnsi="Times New Roman"/>
          <w:lang w:eastAsia="is-IS"/>
        </w:rPr>
        <w:t>leggja dóm á framsetningu efnis, hvort hún er nægilega skýr og einföld. Meta almenna málnotkun og gefa dæmi um lagfæringu ef henni er verulega ábótavant.</w:t>
      </w:r>
    </w:p>
    <w:p w:rsidR="00860867" w:rsidRPr="00860867" w:rsidRDefault="00860867" w:rsidP="00860867">
      <w:pPr>
        <w:autoSpaceDE w:val="0"/>
        <w:autoSpaceDN w:val="0"/>
        <w:adjustRightInd w:val="0"/>
        <w:spacing w:after="0" w:line="240" w:lineRule="auto"/>
        <w:rPr>
          <w:rFonts w:ascii="Times New Roman" w:eastAsiaTheme="minorEastAsia" w:hAnsi="Times New Roman"/>
          <w:lang w:eastAsia="is-IS"/>
        </w:rPr>
      </w:pPr>
    </w:p>
    <w:p w:rsidR="00860867" w:rsidRDefault="00860867" w:rsidP="00CD44B1">
      <w:pPr>
        <w:autoSpaceDE w:val="0"/>
        <w:autoSpaceDN w:val="0"/>
        <w:adjustRightInd w:val="0"/>
        <w:spacing w:after="0" w:line="240" w:lineRule="auto"/>
        <w:rPr>
          <w:rFonts w:ascii="Times New Roman" w:eastAsiaTheme="minorEastAsia" w:hAnsi="Times New Roman"/>
          <w:lang w:eastAsia="is-IS"/>
        </w:rPr>
      </w:pPr>
      <w:r w:rsidRPr="00860867">
        <w:rPr>
          <w:rFonts w:ascii="Times New Roman" w:eastAsiaTheme="minorEastAsia" w:hAnsi="Times New Roman"/>
          <w:lang w:eastAsia="is-IS"/>
        </w:rPr>
        <w:t xml:space="preserve">Sendið ritrýni </w:t>
      </w:r>
      <w:r w:rsidR="00CD44B1">
        <w:rPr>
          <w:rFonts w:ascii="Times New Roman" w:eastAsiaTheme="minorEastAsia" w:hAnsi="Times New Roman"/>
          <w:lang w:eastAsia="is-IS"/>
        </w:rPr>
        <w:t xml:space="preserve">rafrænt </w:t>
      </w:r>
      <w:bookmarkStart w:id="2" w:name="_GoBack"/>
      <w:r w:rsidR="00CD44B1" w:rsidRPr="00AB4D9F">
        <w:rPr>
          <w:rFonts w:ascii="Times New Roman" w:eastAsiaTheme="minorEastAsia" w:hAnsi="Times New Roman"/>
          <w:b/>
          <w:lang w:eastAsia="is-IS"/>
        </w:rPr>
        <w:t>á</w:t>
      </w:r>
      <w:r w:rsidR="00AB4D9F" w:rsidRPr="00AB4D9F">
        <w:rPr>
          <w:rFonts w:ascii="Times New Roman" w:eastAsiaTheme="minorEastAsia" w:hAnsi="Times New Roman"/>
          <w:b/>
          <w:lang w:eastAsia="is-IS"/>
        </w:rPr>
        <w:t xml:space="preserve"> formann fræðilegrar ritstjórnar </w:t>
      </w:r>
      <w:bookmarkEnd w:id="2"/>
      <w:r w:rsidR="00AB4D9F">
        <w:rPr>
          <w:rFonts w:ascii="Times New Roman" w:eastAsiaTheme="minorEastAsia" w:hAnsi="Times New Roman"/>
          <w:lang w:eastAsia="is-IS"/>
        </w:rPr>
        <w:t>(sjá upplýsingar á heimsíðu FS).</w:t>
      </w:r>
    </w:p>
    <w:p w:rsidR="00D21FCF" w:rsidRPr="00D21FCF" w:rsidRDefault="00D21FCF" w:rsidP="00CD44B1">
      <w:pPr>
        <w:autoSpaceDE w:val="0"/>
        <w:autoSpaceDN w:val="0"/>
        <w:adjustRightInd w:val="0"/>
        <w:spacing w:after="0" w:line="240" w:lineRule="auto"/>
        <w:rPr>
          <w:rFonts w:ascii="Times New Roman" w:eastAsiaTheme="minorEastAsia" w:hAnsi="Times New Roman"/>
          <w:b/>
          <w:i/>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b/>
          <w:bCs/>
          <w:color w:val="C00000"/>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b/>
          <w:bCs/>
          <w:color w:val="C00000"/>
          <w:lang w:eastAsia="is-IS"/>
        </w:rPr>
      </w:pPr>
    </w:p>
    <w:p w:rsidR="00860867" w:rsidRPr="00860867" w:rsidRDefault="00860867" w:rsidP="00860867">
      <w:pPr>
        <w:autoSpaceDE w:val="0"/>
        <w:autoSpaceDN w:val="0"/>
        <w:adjustRightInd w:val="0"/>
        <w:spacing w:after="0" w:line="240" w:lineRule="auto"/>
        <w:rPr>
          <w:rFonts w:ascii="Times New Roman" w:eastAsiaTheme="minorEastAsia" w:hAnsi="Times New Roman"/>
          <w:b/>
          <w:bCs/>
          <w:lang w:eastAsia="is-IS"/>
        </w:rPr>
      </w:pPr>
    </w:p>
    <w:p w:rsidR="00860867" w:rsidRPr="00860867" w:rsidRDefault="00860867" w:rsidP="00860867">
      <w:pPr>
        <w:spacing w:after="0" w:line="240" w:lineRule="auto"/>
        <w:rPr>
          <w:rFonts w:ascii="Times New Roman" w:eastAsiaTheme="minorEastAsia" w:hAnsi="Times New Roman"/>
          <w:b/>
          <w:bCs/>
          <w:lang w:eastAsia="is-IS"/>
        </w:rPr>
      </w:pPr>
    </w:p>
    <w:sectPr w:rsidR="00860867" w:rsidRPr="00860867" w:rsidSect="009B7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5779"/>
    <w:multiLevelType w:val="hybridMultilevel"/>
    <w:tmpl w:val="D352713E"/>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F2D47D5"/>
    <w:multiLevelType w:val="hybridMultilevel"/>
    <w:tmpl w:val="10749C7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61F2F4F"/>
    <w:multiLevelType w:val="hybridMultilevel"/>
    <w:tmpl w:val="51BE7114"/>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6D12F42"/>
    <w:multiLevelType w:val="hybridMultilevel"/>
    <w:tmpl w:val="42ECC5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EF62F33"/>
    <w:multiLevelType w:val="hybridMultilevel"/>
    <w:tmpl w:val="754EB4D8"/>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3683915"/>
    <w:multiLevelType w:val="hybridMultilevel"/>
    <w:tmpl w:val="0E041DE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5D844F2"/>
    <w:multiLevelType w:val="hybridMultilevel"/>
    <w:tmpl w:val="99B2B4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514B6CDB"/>
    <w:multiLevelType w:val="hybridMultilevel"/>
    <w:tmpl w:val="BFACD0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51BF5E32"/>
    <w:multiLevelType w:val="hybridMultilevel"/>
    <w:tmpl w:val="E0F0F8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51BF6037"/>
    <w:multiLevelType w:val="hybridMultilevel"/>
    <w:tmpl w:val="BB52BE7A"/>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62D95D8F"/>
    <w:multiLevelType w:val="hybridMultilevel"/>
    <w:tmpl w:val="129C62B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64056EB2"/>
    <w:multiLevelType w:val="hybridMultilevel"/>
    <w:tmpl w:val="89DAEBD8"/>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6B9C0853"/>
    <w:multiLevelType w:val="hybridMultilevel"/>
    <w:tmpl w:val="57F84C24"/>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72AB577E"/>
    <w:multiLevelType w:val="hybridMultilevel"/>
    <w:tmpl w:val="A4C0FF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7A0F6E05"/>
    <w:multiLevelType w:val="hybridMultilevel"/>
    <w:tmpl w:val="F064D386"/>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4"/>
  </w:num>
  <w:num w:numId="5">
    <w:abstractNumId w:val="12"/>
  </w:num>
  <w:num w:numId="6">
    <w:abstractNumId w:val="0"/>
  </w:num>
  <w:num w:numId="7">
    <w:abstractNumId w:val="9"/>
  </w:num>
  <w:num w:numId="8">
    <w:abstractNumId w:val="7"/>
  </w:num>
  <w:num w:numId="9">
    <w:abstractNumId w:val="14"/>
  </w:num>
  <w:num w:numId="10">
    <w:abstractNumId w:val="1"/>
  </w:num>
  <w:num w:numId="11">
    <w:abstractNumId w:val="5"/>
  </w:num>
  <w:num w:numId="12">
    <w:abstractNumId w:val="10"/>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67"/>
    <w:rsid w:val="00027AAD"/>
    <w:rsid w:val="000E70CE"/>
    <w:rsid w:val="003B77CD"/>
    <w:rsid w:val="005E6EB6"/>
    <w:rsid w:val="00860867"/>
    <w:rsid w:val="009B7D5D"/>
    <w:rsid w:val="00AB4D9F"/>
    <w:rsid w:val="00CD44B1"/>
    <w:rsid w:val="00D21FCF"/>
    <w:rsid w:val="00D66DA9"/>
    <w:rsid w:val="00EC73A8"/>
    <w:rsid w:val="00EF56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0197"/>
  <w15:docId w15:val="{40D0BB84-39B5-4D3B-B32C-1BD00C2F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867"/>
    <w:rPr>
      <w:rFonts w:eastAsiaTheme="minorEastAsia"/>
      <w:lang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SAA</cp:lastModifiedBy>
  <cp:revision>3</cp:revision>
  <dcterms:created xsi:type="dcterms:W3CDTF">2017-12-07T16:26:00Z</dcterms:created>
  <dcterms:modified xsi:type="dcterms:W3CDTF">2018-02-19T16:35:00Z</dcterms:modified>
</cp:coreProperties>
</file>